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21B" w:rsidRDefault="00B8200A">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#11</w:t>
      </w:r>
      <w:r>
        <w:rPr>
          <w:rFonts w:cs="Arial" w:hint="eastAsia"/>
          <w:b/>
          <w:bCs/>
          <w:sz w:val="22"/>
          <w:szCs w:val="22"/>
          <w:lang w:val="en-US" w:eastAsia="zh-CN"/>
        </w:rPr>
        <w:t>9</w:t>
      </w:r>
      <w:r>
        <w:rPr>
          <w:rFonts w:eastAsia="MS Mincho" w:cs="Arial"/>
          <w:b/>
          <w:bCs/>
          <w:sz w:val="22"/>
          <w:szCs w:val="22"/>
          <w:lang w:val="en-US"/>
        </w:rPr>
        <w:t>-e</w:t>
      </w:r>
      <w:r>
        <w:rPr>
          <w:b/>
          <w:i/>
          <w:sz w:val="28"/>
        </w:rPr>
        <w:tab/>
      </w:r>
      <w:r w:rsidRPr="00AE099F">
        <w:rPr>
          <w:rFonts w:eastAsia="MS Mincho" w:cs="Arial"/>
          <w:b/>
          <w:sz w:val="22"/>
          <w:szCs w:val="22"/>
          <w:lang w:val="en-US"/>
        </w:rPr>
        <w:t>R2-22</w:t>
      </w:r>
      <w:r w:rsidR="00AE099F" w:rsidRPr="00AE099F">
        <w:rPr>
          <w:rFonts w:eastAsia="MS Mincho" w:cs="Arial"/>
          <w:b/>
          <w:sz w:val="22"/>
          <w:szCs w:val="22"/>
          <w:lang w:val="en-US"/>
        </w:rPr>
        <w:t>08459</w:t>
      </w:r>
    </w:p>
    <w:p w:rsidR="00AC421B" w:rsidRDefault="00B8200A">
      <w:pPr>
        <w:pStyle w:val="CRCoverPage"/>
        <w:tabs>
          <w:tab w:val="right" w:pos="9639"/>
        </w:tabs>
        <w:spacing w:after="0"/>
        <w:rPr>
          <w:b/>
          <w:sz w:val="22"/>
          <w:szCs w:val="22"/>
          <w:lang w:eastAsia="zh-CN"/>
        </w:rPr>
      </w:pPr>
      <w:r>
        <w:rPr>
          <w:b/>
          <w:sz w:val="22"/>
          <w:szCs w:val="22"/>
          <w:lang w:eastAsia="zh-CN"/>
        </w:rPr>
        <w:t xml:space="preserve">Online, </w:t>
      </w:r>
      <w:r>
        <w:rPr>
          <w:rFonts w:hint="eastAsia"/>
          <w:b/>
          <w:sz w:val="22"/>
          <w:szCs w:val="22"/>
          <w:lang w:val="en-US" w:eastAsia="zh-CN"/>
        </w:rPr>
        <w:t>17</w:t>
      </w:r>
      <w:proofErr w:type="spellStart"/>
      <w:r>
        <w:rPr>
          <w:b/>
          <w:sz w:val="22"/>
          <w:szCs w:val="22"/>
          <w:vertAlign w:val="superscript"/>
          <w:lang w:eastAsia="zh-CN"/>
        </w:rPr>
        <w:t>th</w:t>
      </w:r>
      <w:proofErr w:type="spellEnd"/>
      <w:r>
        <w:rPr>
          <w:b/>
          <w:sz w:val="22"/>
          <w:szCs w:val="22"/>
          <w:lang w:eastAsia="zh-CN"/>
        </w:rPr>
        <w:t xml:space="preserve"> – 2</w:t>
      </w:r>
      <w:r>
        <w:rPr>
          <w:rFonts w:hint="eastAsia"/>
          <w:b/>
          <w:sz w:val="22"/>
          <w:szCs w:val="22"/>
          <w:lang w:val="en-US" w:eastAsia="zh-CN"/>
        </w:rPr>
        <w:t>9</w:t>
      </w:r>
      <w:proofErr w:type="spellStart"/>
      <w:r>
        <w:rPr>
          <w:b/>
          <w:sz w:val="22"/>
          <w:szCs w:val="22"/>
          <w:vertAlign w:val="superscript"/>
          <w:lang w:eastAsia="zh-CN"/>
        </w:rPr>
        <w:t>th</w:t>
      </w:r>
      <w:proofErr w:type="spellEnd"/>
      <w:r>
        <w:rPr>
          <w:b/>
          <w:sz w:val="22"/>
          <w:szCs w:val="22"/>
          <w:lang w:eastAsia="zh-CN"/>
        </w:rPr>
        <w:t xml:space="preserve"> </w:t>
      </w:r>
      <w:r>
        <w:rPr>
          <w:rFonts w:hint="eastAsia"/>
          <w:b/>
          <w:sz w:val="22"/>
          <w:szCs w:val="22"/>
          <w:lang w:val="en-US" w:eastAsia="zh-CN"/>
        </w:rPr>
        <w:t>Aug</w:t>
      </w:r>
      <w:r>
        <w:rPr>
          <w:b/>
          <w:sz w:val="22"/>
          <w:szCs w:val="22"/>
          <w:lang w:eastAsia="zh-CN"/>
        </w:rPr>
        <w:t xml:space="preserve"> 20</w:t>
      </w:r>
      <w:r>
        <w:rPr>
          <w:rFonts w:hint="eastAsia"/>
          <w:b/>
          <w:sz w:val="22"/>
          <w:szCs w:val="22"/>
          <w:lang w:eastAsia="zh-CN"/>
        </w:rPr>
        <w:t>2</w:t>
      </w:r>
      <w:r>
        <w:rPr>
          <w:b/>
          <w:sz w:val="22"/>
          <w:szCs w:val="22"/>
          <w:lang w:eastAsia="zh-CN"/>
        </w:rPr>
        <w:t>2</w:t>
      </w:r>
    </w:p>
    <w:p w:rsidR="00AC421B" w:rsidRDefault="00AC421B">
      <w:pPr>
        <w:pStyle w:val="Header"/>
        <w:rPr>
          <w:rFonts w:eastAsia="宋体" w:cs="Arial"/>
          <w:bCs/>
          <w:sz w:val="22"/>
          <w:szCs w:val="22"/>
          <w:lang w:val="en-GB" w:eastAsia="zh-CN"/>
        </w:rPr>
      </w:pPr>
    </w:p>
    <w:p w:rsidR="00AC421B" w:rsidRDefault="00B8200A">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8</w:t>
      </w:r>
      <w:r w:rsidRPr="00AE099F">
        <w:rPr>
          <w:rFonts w:cs="Arial"/>
          <w:sz w:val="22"/>
          <w:szCs w:val="22"/>
        </w:rPr>
        <w:t>.1</w:t>
      </w:r>
      <w:r w:rsidRPr="00AE099F">
        <w:rPr>
          <w:rFonts w:eastAsia="宋体" w:cs="Arial" w:hint="eastAsia"/>
          <w:sz w:val="22"/>
          <w:szCs w:val="22"/>
          <w:lang w:eastAsia="zh-CN"/>
        </w:rPr>
        <w:t>2.2</w:t>
      </w:r>
    </w:p>
    <w:p w:rsidR="00AC421B" w:rsidRDefault="00B8200A">
      <w:pPr>
        <w:pStyle w:val="Header"/>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rsidR="00AC421B" w:rsidRDefault="00B8200A">
      <w:pPr>
        <w:pStyle w:val="Header"/>
        <w:tabs>
          <w:tab w:val="clear" w:pos="4536"/>
          <w:tab w:val="left" w:pos="1800"/>
        </w:tabs>
        <w:spacing w:after="120"/>
        <w:ind w:left="1797" w:hanging="1797"/>
        <w:rPr>
          <w:rFonts w:eastAsia="宋体" w:cs="Arial"/>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eastAsia="宋体" w:cs="Arial" w:hint="eastAsia"/>
          <w:sz w:val="22"/>
          <w:szCs w:val="22"/>
          <w:lang w:eastAsia="zh-CN"/>
        </w:rPr>
        <w:t>Discussion on mobile IAB</w:t>
      </w:r>
    </w:p>
    <w:p w:rsidR="00AC421B" w:rsidRDefault="00B8200A">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rsidR="00AC421B" w:rsidRDefault="00B8200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4"/>
      <w:bookmarkStart w:id="1" w:name="OLE_LINK13"/>
      <w:r>
        <w:rPr>
          <w:rFonts w:eastAsia="MS Mincho" w:cs="Times New Roman" w:hint="eastAsia"/>
          <w:b w:val="0"/>
          <w:bCs w:val="0"/>
          <w:kern w:val="0"/>
          <w:sz w:val="36"/>
          <w:szCs w:val="20"/>
          <w:lang w:val="en-GB" w:eastAsia="ja-JP"/>
        </w:rPr>
        <w:t>Introduction</w:t>
      </w:r>
    </w:p>
    <w:p w:rsidR="00AC421B" w:rsidRDefault="00B8200A">
      <w:pPr>
        <w:rPr>
          <w:rFonts w:eastAsia="宋体"/>
          <w:lang w:eastAsia="zh-CN"/>
        </w:rPr>
      </w:pPr>
      <w:bookmarkStart w:id="2" w:name="_Hlk53665621"/>
      <w:r>
        <w:t>In Rel-18</w:t>
      </w:r>
      <w:r>
        <w:rPr>
          <w:rFonts w:eastAsia="宋体" w:hint="eastAsia"/>
          <w:lang w:eastAsia="zh-CN"/>
        </w:rPr>
        <w:t xml:space="preserve">, a new WI has been agreed on </w:t>
      </w:r>
      <w:r>
        <w:t xml:space="preserve">Mobile IAB WID </w:t>
      </w:r>
      <w:r>
        <w:rPr>
          <w:rFonts w:eastAsia="宋体" w:hint="eastAsia"/>
          <w:lang w:eastAsia="zh-CN"/>
        </w:rPr>
        <w:t>[1]</w:t>
      </w:r>
      <w:r>
        <w:t>, the objective</w:t>
      </w:r>
      <w:r>
        <w:rPr>
          <w:rFonts w:eastAsia="宋体" w:hint="eastAsia"/>
          <w:lang w:eastAsia="zh-CN"/>
        </w:rPr>
        <w:t xml:space="preserve">s of this WI </w:t>
      </w:r>
      <w:r>
        <w:t>include</w:t>
      </w:r>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C421B">
        <w:tc>
          <w:tcPr>
            <w:tcW w:w="9857" w:type="dxa"/>
            <w:shd w:val="clear" w:color="auto" w:fill="auto"/>
          </w:tcPr>
          <w:p w:rsidR="00AC421B" w:rsidRDefault="00B8200A">
            <w:pPr>
              <w:pStyle w:val="maintext"/>
              <w:numPr>
                <w:ilvl w:val="0"/>
                <w:numId w:val="7"/>
              </w:numPr>
              <w:spacing w:line="240" w:lineRule="auto"/>
              <w:ind w:firstLineChars="0"/>
              <w:rPr>
                <w:rFonts w:eastAsia="Times New Roman" w:cs="Times New Roman"/>
                <w:lang w:eastAsia="en-US"/>
              </w:rPr>
            </w:pPr>
            <w:r>
              <w:rPr>
                <w:rFonts w:eastAsia="Times New Roman" w:cs="Times New Roman"/>
                <w:lang w:eastAsia="en-US"/>
              </w:rPr>
              <w:t>Define Procedures for migration/topology adaptation to enable IAB-node mobility, including inter-donor migration of the entire mobile IAB-node (full migration) [RAN3, RAN2]</w:t>
            </w:r>
          </w:p>
          <w:p w:rsidR="00AC421B" w:rsidRDefault="00B8200A">
            <w:pPr>
              <w:pStyle w:val="maintext"/>
              <w:numPr>
                <w:ilvl w:val="0"/>
                <w:numId w:val="7"/>
              </w:numPr>
              <w:spacing w:line="240" w:lineRule="auto"/>
              <w:ind w:firstLineChars="0"/>
              <w:rPr>
                <w:rFonts w:eastAsia="Times New Roman" w:cs="Times New Roman"/>
                <w:highlight w:val="yellow"/>
                <w:lang w:eastAsia="en-US"/>
              </w:rPr>
            </w:pPr>
            <w:r>
              <w:rPr>
                <w:rFonts w:eastAsia="Times New Roman" w:cs="Times New Roman"/>
                <w:highlight w:val="yellow"/>
                <w:lang w:eastAsia="en-US"/>
              </w:rPr>
              <w:t xml:space="preserve">Enhancements for mobility of an IAB-node together with </w:t>
            </w:r>
            <w:proofErr w:type="gramStart"/>
            <w:r>
              <w:rPr>
                <w:rFonts w:eastAsia="Times New Roman" w:cs="Times New Roman"/>
                <w:highlight w:val="yellow"/>
                <w:lang w:eastAsia="en-US"/>
              </w:rPr>
              <w:t>its</w:t>
            </w:r>
            <w:proofErr w:type="gramEnd"/>
            <w:r>
              <w:rPr>
                <w:rFonts w:eastAsia="Times New Roman" w:cs="Times New Roman"/>
                <w:highlight w:val="yellow"/>
                <w:lang w:eastAsia="en-US"/>
              </w:rPr>
              <w:t xml:space="preserve"> served UEs, including aspects related to group mobility. No optimizations for the targeting of surrounding UEs. [RAN3, RAN2]</w:t>
            </w:r>
          </w:p>
          <w:p w:rsidR="00AC421B" w:rsidRDefault="00B8200A">
            <w:pPr>
              <w:pStyle w:val="maintext"/>
              <w:spacing w:line="240" w:lineRule="auto"/>
              <w:ind w:left="720" w:firstLineChars="0" w:firstLine="0"/>
              <w:rPr>
                <w:rFonts w:eastAsia="Times New Roman" w:cs="Times New Roman"/>
                <w:i/>
                <w:iCs/>
                <w:highlight w:val="yellow"/>
                <w:lang w:eastAsia="en-US"/>
              </w:rPr>
            </w:pPr>
            <w:r>
              <w:rPr>
                <w:rFonts w:eastAsia="Times New Roman" w:cs="Times New Roman"/>
                <w:i/>
                <w:iCs/>
                <w:highlight w:val="yellow"/>
                <w:lang w:eastAsia="en-US"/>
              </w:rPr>
              <w:t>Note: Solutions should avoid touching upon topics where Rel-17 discussions already occurred and where the topic was excluded from Rel-17, except for enhancements that are specific to IAB-node mobility.</w:t>
            </w:r>
          </w:p>
          <w:p w:rsidR="00AC421B" w:rsidRDefault="00B8200A">
            <w:pPr>
              <w:pStyle w:val="maintext"/>
              <w:numPr>
                <w:ilvl w:val="0"/>
                <w:numId w:val="7"/>
              </w:numPr>
              <w:spacing w:line="240" w:lineRule="auto"/>
              <w:ind w:firstLineChars="0"/>
              <w:rPr>
                <w:rFonts w:eastAsia="Times New Roman" w:cs="Times New Roman"/>
                <w:highlight w:val="yellow"/>
                <w:lang w:eastAsia="en-US"/>
              </w:rPr>
            </w:pPr>
            <w:r>
              <w:rPr>
                <w:rFonts w:eastAsia="Times New Roman" w:cs="Times New Roman"/>
                <w:highlight w:val="yellow"/>
                <w:lang w:eastAsia="en-US"/>
              </w:rPr>
              <w:t>Mitigation of interference due to IAB-node mobility, including the avoidance of potential reference and control signal collisions (e.g. PCI, RACH). [RAN3, RAN2]</w:t>
            </w:r>
          </w:p>
          <w:p w:rsidR="00AC421B" w:rsidRDefault="00B8200A">
            <w:pPr>
              <w:pStyle w:val="maintext"/>
              <w:spacing w:line="240" w:lineRule="auto"/>
              <w:ind w:firstLineChars="0" w:firstLine="0"/>
              <w:rPr>
                <w:rFonts w:eastAsia="Times New Roman" w:cs="Times New Roman"/>
                <w:lang w:eastAsia="en-US"/>
              </w:rPr>
            </w:pPr>
            <w:r>
              <w:rPr>
                <w:rFonts w:eastAsia="Times New Roman" w:cs="Times New Roman"/>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bookmarkStart w:id="3" w:name="_GoBack"/>
            <w:bookmarkEnd w:id="3"/>
          </w:p>
          <w:p w:rsidR="00AC421B" w:rsidRDefault="00AC421B">
            <w:pPr>
              <w:pStyle w:val="maintext"/>
              <w:spacing w:line="240" w:lineRule="auto"/>
              <w:ind w:firstLineChars="0" w:firstLine="0"/>
              <w:rPr>
                <w:rFonts w:eastAsia="Times New Roman" w:cs="Times New Roman"/>
                <w:lang w:eastAsia="en-US"/>
              </w:rPr>
            </w:pPr>
          </w:p>
          <w:p w:rsidR="00AC421B" w:rsidRDefault="00B8200A">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rsidR="00AC421B" w:rsidRDefault="00B8200A">
            <w:pPr>
              <w:pStyle w:val="maintext"/>
              <w:numPr>
                <w:ilvl w:val="0"/>
                <w:numId w:val="8"/>
              </w:numPr>
              <w:spacing w:line="240" w:lineRule="auto"/>
              <w:ind w:firstLineChars="0"/>
              <w:jc w:val="left"/>
              <w:rPr>
                <w:rFonts w:eastAsia="Times New Roman" w:cs="Times New Roman"/>
                <w:lang w:eastAsia="en-US"/>
              </w:rPr>
            </w:pPr>
            <w:r>
              <w:rPr>
                <w:rFonts w:eastAsia="Times New Roman" w:cs="Times New Roman"/>
                <w:lang w:eastAsia="en-US"/>
              </w:rPr>
              <w:t>Mobile IAB-nodes should be able to serve legacy UEs.</w:t>
            </w:r>
          </w:p>
          <w:p w:rsidR="00AC421B" w:rsidRDefault="00B8200A">
            <w:pPr>
              <w:pStyle w:val="maintext"/>
              <w:numPr>
                <w:ilvl w:val="0"/>
                <w:numId w:val="8"/>
              </w:numPr>
              <w:spacing w:line="240" w:lineRule="auto"/>
              <w:ind w:firstLineChars="0"/>
              <w:jc w:val="left"/>
              <w:rPr>
                <w:rFonts w:eastAsia="Times New Roman" w:cs="Times New Roman"/>
                <w:lang w:eastAsia="en-US"/>
              </w:rPr>
            </w:pPr>
            <w:r>
              <w:rPr>
                <w:rFonts w:eastAsia="Times New Roman" w:cs="Times New Roman"/>
                <w:lang w:eastAsia="en-US"/>
              </w:rPr>
              <w:t>Solutions providing optimization for Mobile IAB may entail Rel-18 UE enhancements, provided that such enhancements are backwards compatible</w:t>
            </w:r>
          </w:p>
          <w:p w:rsidR="00AC421B" w:rsidRDefault="00AC421B">
            <w:pPr>
              <w:spacing w:before="120" w:line="280" w:lineRule="atLeast"/>
              <w:jc w:val="both"/>
            </w:pPr>
          </w:p>
        </w:tc>
      </w:tr>
    </w:tbl>
    <w:p w:rsidR="00AC421B" w:rsidRDefault="00B8200A">
      <w:r>
        <w:t xml:space="preserve"> </w:t>
      </w:r>
    </w:p>
    <w:p w:rsidR="00AC421B" w:rsidRDefault="00B8200A">
      <w:pPr>
        <w:spacing w:beforeLines="50" w:before="120" w:after="120" w:line="260" w:lineRule="exact"/>
        <w:jc w:val="both"/>
        <w:rPr>
          <w:szCs w:val="20"/>
        </w:rPr>
      </w:pPr>
      <w:r>
        <w:t>In this contribution, we discuss</w:t>
      </w:r>
      <w:r>
        <w:rPr>
          <w:rFonts w:eastAsia="宋体" w:hint="eastAsia"/>
          <w:lang w:eastAsia="zh-CN"/>
        </w:rPr>
        <w:t xml:space="preserve"> </w:t>
      </w:r>
      <w:r>
        <w:t xml:space="preserve">mobility </w:t>
      </w:r>
      <w:r>
        <w:rPr>
          <w:rFonts w:eastAsia="宋体" w:hint="eastAsia"/>
          <w:lang w:eastAsia="zh-CN"/>
        </w:rPr>
        <w:t xml:space="preserve">related issue </w:t>
      </w:r>
      <w:r>
        <w:t xml:space="preserve">for mobile IAB. </w:t>
      </w:r>
      <w:bookmarkEnd w:id="2"/>
    </w:p>
    <w:p w:rsidR="00AC421B" w:rsidRDefault="00B8200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rsidR="00AC421B" w:rsidRDefault="00B8200A">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 xml:space="preserve">UE </w:t>
      </w:r>
      <w:r>
        <w:rPr>
          <w:rFonts w:ascii="Arial" w:eastAsia="等线" w:hAnsi="Arial" w:cs="Arial"/>
          <w:iCs/>
          <w:sz w:val="32"/>
          <w:szCs w:val="32"/>
          <w:lang w:eastAsia="zh-CN"/>
        </w:rPr>
        <w:t xml:space="preserve">reselection </w:t>
      </w:r>
      <w:r w:rsidR="00B752D2">
        <w:rPr>
          <w:rFonts w:ascii="Arial" w:eastAsia="等线" w:hAnsi="Arial" w:cs="Arial"/>
          <w:iCs/>
          <w:sz w:val="32"/>
          <w:szCs w:val="32"/>
          <w:lang w:eastAsia="zh-CN"/>
        </w:rPr>
        <w:t>to/from</w:t>
      </w:r>
      <w:r>
        <w:rPr>
          <w:rFonts w:ascii="Arial" w:eastAsia="等线" w:hAnsi="Arial" w:cs="Arial"/>
          <w:iCs/>
          <w:sz w:val="32"/>
          <w:szCs w:val="32"/>
          <w:lang w:eastAsia="zh-CN"/>
        </w:rPr>
        <w:t xml:space="preserve"> mobile </w:t>
      </w:r>
      <w:r w:rsidR="00B752D2">
        <w:rPr>
          <w:rFonts w:ascii="Arial" w:eastAsia="等线" w:hAnsi="Arial" w:cs="Arial"/>
          <w:iCs/>
          <w:sz w:val="32"/>
          <w:szCs w:val="32"/>
          <w:lang w:eastAsia="zh-CN"/>
        </w:rPr>
        <w:t xml:space="preserve">IAB </w:t>
      </w:r>
      <w:r>
        <w:rPr>
          <w:rFonts w:ascii="Arial" w:eastAsia="等线" w:hAnsi="Arial" w:cs="Arial"/>
          <w:iCs/>
          <w:sz w:val="32"/>
          <w:szCs w:val="32"/>
          <w:lang w:eastAsia="zh-CN"/>
        </w:rPr>
        <w:t>cell</w:t>
      </w:r>
    </w:p>
    <w:p w:rsidR="00AC421B" w:rsidRDefault="00B8200A">
      <w:pPr>
        <w:pStyle w:val="maintext"/>
        <w:spacing w:line="240" w:lineRule="auto"/>
        <w:ind w:firstLineChars="0" w:firstLine="0"/>
        <w:rPr>
          <w:rFonts w:eastAsia="Times New Roman" w:cs="Times New Roman"/>
          <w:lang w:eastAsia="en-US"/>
        </w:rPr>
      </w:pPr>
      <w:r>
        <w:rPr>
          <w:rFonts w:eastAsia="等线" w:hint="eastAsia"/>
          <w:lang w:eastAsia="zh-CN"/>
        </w:rPr>
        <w:t>Based on the WID description, t</w:t>
      </w:r>
      <w:r>
        <w:rPr>
          <w:rFonts w:eastAsia="Times New Roman" w:cs="Times New Roman"/>
          <w:lang w:eastAsia="en-US"/>
        </w:rPr>
        <w:t>he following principles should be respected:</w:t>
      </w:r>
    </w:p>
    <w:p w:rsidR="00AC421B" w:rsidRDefault="00B8200A">
      <w:pPr>
        <w:pStyle w:val="maintext"/>
        <w:numPr>
          <w:ilvl w:val="0"/>
          <w:numId w:val="8"/>
        </w:numPr>
        <w:spacing w:line="240" w:lineRule="auto"/>
        <w:ind w:firstLineChars="0"/>
        <w:jc w:val="left"/>
        <w:rPr>
          <w:rFonts w:eastAsia="Times New Roman" w:cs="Times New Roman"/>
          <w:lang w:eastAsia="en-US"/>
        </w:rPr>
      </w:pPr>
      <w:r>
        <w:rPr>
          <w:rFonts w:eastAsia="Times New Roman" w:cs="Times New Roman"/>
          <w:lang w:eastAsia="en-US"/>
        </w:rPr>
        <w:t>Mobile IAB-nodes should be able to serve legacy UEs.</w:t>
      </w:r>
    </w:p>
    <w:p w:rsidR="00AC421B" w:rsidRDefault="00B8200A">
      <w:pPr>
        <w:pStyle w:val="maintext"/>
        <w:numPr>
          <w:ilvl w:val="0"/>
          <w:numId w:val="8"/>
        </w:numPr>
        <w:spacing w:line="240" w:lineRule="auto"/>
        <w:ind w:firstLineChars="0"/>
        <w:jc w:val="left"/>
        <w:rPr>
          <w:rFonts w:eastAsia="Times New Roman" w:cs="Times New Roman"/>
          <w:lang w:eastAsia="en-US"/>
        </w:rPr>
      </w:pPr>
      <w:r>
        <w:rPr>
          <w:rFonts w:eastAsia="Times New Roman" w:cs="Times New Roman"/>
          <w:lang w:eastAsia="en-US"/>
        </w:rPr>
        <w:t>Solutions providing optimization for Mobile IAB may entail Rel-18 UE enhancements, provided that such enhancements are backwards compatible</w:t>
      </w:r>
    </w:p>
    <w:p w:rsidR="00AC421B" w:rsidRDefault="00B8200A">
      <w:pPr>
        <w:spacing w:before="120" w:after="120" w:line="260" w:lineRule="auto"/>
        <w:jc w:val="both"/>
        <w:rPr>
          <w:rFonts w:eastAsia="等线"/>
          <w:lang w:eastAsia="zh-CN"/>
        </w:rPr>
      </w:pPr>
      <w:r>
        <w:rPr>
          <w:rFonts w:eastAsia="等线" w:hint="eastAsia"/>
          <w:lang w:eastAsia="zh-CN"/>
        </w:rPr>
        <w:t>As mobile IAB moves around, its cell coverage also keeps changing along the IAB moving trajectory, see Figure 1.</w:t>
      </w:r>
    </w:p>
    <w:p w:rsidR="00AC421B" w:rsidRDefault="000D08CB" w:rsidP="00B07351">
      <w:pPr>
        <w:spacing w:before="120" w:after="120" w:line="260" w:lineRule="auto"/>
        <w:jc w:val="center"/>
        <w:rPr>
          <w:rFonts w:eastAsia="等线"/>
          <w:lang w:eastAsia="zh-CN"/>
        </w:rPr>
      </w:pPr>
      <w:r>
        <w:rPr>
          <w:rFonts w:eastAsia="等线" w:hint="eastAsia"/>
          <w:lang w:eastAsia="zh-CN"/>
        </w:rPr>
        <w:object w:dxaOrig="6881" w:dyaOrig="2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96.75pt" o:ole="">
            <v:imagedata r:id="rId8" o:title=""/>
            <o:lock v:ext="edit" aspectratio="f"/>
          </v:shape>
          <o:OLEObject Type="Embed" ProgID="Visio.Drawing.15" ShapeID="_x0000_i1025" DrawAspect="Content" ObjectID="_1721645117" r:id="rId9"/>
        </w:object>
      </w:r>
    </w:p>
    <w:p w:rsidR="000D08CB" w:rsidRPr="00B07351" w:rsidRDefault="000D08CB" w:rsidP="00B07351">
      <w:pPr>
        <w:spacing w:before="120" w:after="120" w:line="260" w:lineRule="auto"/>
        <w:jc w:val="center"/>
        <w:rPr>
          <w:rFonts w:eastAsia="等线"/>
          <w:b/>
          <w:lang w:val="en-GB" w:eastAsia="zh-CN"/>
        </w:rPr>
      </w:pPr>
      <w:r w:rsidRPr="00B07351">
        <w:rPr>
          <w:rFonts w:eastAsia="等线"/>
          <w:b/>
          <w:lang w:val="en-GB" w:eastAsia="zh-CN"/>
        </w:rPr>
        <w:t>Figure 1: Moving IAB cell scenario</w:t>
      </w:r>
    </w:p>
    <w:p w:rsidR="00563516" w:rsidRDefault="00B07351">
      <w:pPr>
        <w:spacing w:before="120" w:after="120" w:line="260" w:lineRule="auto"/>
        <w:jc w:val="both"/>
        <w:rPr>
          <w:rFonts w:eastAsia="等线"/>
          <w:lang w:val="en-GB" w:eastAsia="zh-CN"/>
        </w:rPr>
      </w:pPr>
      <w:r>
        <w:rPr>
          <w:rFonts w:eastAsia="等线"/>
          <w:lang w:val="en-GB" w:eastAsia="zh-CN"/>
        </w:rPr>
        <w:lastRenderedPageBreak/>
        <w:t>As shown in Figure 1, a UE may be camping on a normal non-moving cell or served by a normal non-moving cell when a mobile IAB cell pas</w:t>
      </w:r>
      <w:r w:rsidR="00F13415">
        <w:rPr>
          <w:rFonts w:eastAsia="等线"/>
          <w:lang w:val="en-GB" w:eastAsia="zh-CN"/>
        </w:rPr>
        <w:t>se</w:t>
      </w:r>
      <w:r>
        <w:rPr>
          <w:rFonts w:eastAsia="等线"/>
          <w:lang w:val="en-GB" w:eastAsia="zh-CN"/>
        </w:rPr>
        <w:t>s by. If the mobile IAB cell quality is above threshold and its coverage overlaps with UE coverage, UE may reselect to the mobile IAB cell. But, as the IAB cell is in velocity, it will bypass and UE will be back to only</w:t>
      </w:r>
      <w:r w:rsidRPr="00B07351">
        <w:rPr>
          <w:rFonts w:eastAsia="等线"/>
          <w:lang w:val="en-GB" w:eastAsia="zh-CN"/>
        </w:rPr>
        <w:t xml:space="preserve"> </w:t>
      </w:r>
      <w:r>
        <w:rPr>
          <w:rFonts w:eastAsia="等线"/>
          <w:lang w:val="en-GB" w:eastAsia="zh-CN"/>
        </w:rPr>
        <w:t>normal non-moving cell. UE will reselect back to this normal non-moving cell. Thus, UE will experience a ping-pong cell reselection from mobile IAB cell back to normal non-moving cell.</w:t>
      </w:r>
      <w:r w:rsidR="00382EEB">
        <w:rPr>
          <w:rFonts w:eastAsia="等线"/>
          <w:lang w:val="en-GB" w:eastAsia="zh-CN"/>
        </w:rPr>
        <w:t xml:space="preserve"> </w:t>
      </w:r>
    </w:p>
    <w:p w:rsidR="00563516" w:rsidRDefault="00563516">
      <w:pPr>
        <w:spacing w:before="120" w:after="120" w:line="260" w:lineRule="auto"/>
        <w:jc w:val="both"/>
        <w:rPr>
          <w:rFonts w:eastAsia="等线"/>
          <w:lang w:val="en-GB" w:eastAsia="zh-CN"/>
        </w:rPr>
      </w:pPr>
      <w:r>
        <w:rPr>
          <w:rFonts w:eastAsia="等线"/>
          <w:lang w:val="en-GB" w:eastAsia="zh-CN"/>
        </w:rPr>
        <w:t>On the other hand, a</w:t>
      </w:r>
      <w:r w:rsidR="00F13415">
        <w:rPr>
          <w:rFonts w:eastAsia="等线"/>
          <w:lang w:val="en-GB" w:eastAsia="zh-CN"/>
        </w:rPr>
        <w:t xml:space="preserve"> UE</w:t>
      </w:r>
      <w:r>
        <w:rPr>
          <w:rFonts w:eastAsia="等线"/>
          <w:lang w:val="en-GB" w:eastAsia="zh-CN"/>
        </w:rPr>
        <w:t xml:space="preserve"> camping on a mobile cell may reselect to a normal cell, then back to mobile IAB cell.</w:t>
      </w:r>
    </w:p>
    <w:p w:rsidR="00AC421B" w:rsidRDefault="00382EEB">
      <w:pPr>
        <w:spacing w:before="120" w:after="120" w:line="260" w:lineRule="auto"/>
        <w:jc w:val="both"/>
        <w:rPr>
          <w:rFonts w:eastAsia="等线"/>
          <w:lang w:val="en-GB" w:eastAsia="zh-CN"/>
        </w:rPr>
      </w:pPr>
      <w:r>
        <w:rPr>
          <w:rFonts w:eastAsia="等线"/>
          <w:lang w:val="en-GB" w:eastAsia="zh-CN"/>
        </w:rPr>
        <w:t>This is unnecessary cell reselection to a non-optimal cell.</w:t>
      </w:r>
    </w:p>
    <w:p w:rsidR="002A0EC9" w:rsidRDefault="00E15272" w:rsidP="002A0EC9">
      <w:pPr>
        <w:pStyle w:val="Observation"/>
        <w:numPr>
          <w:ilvl w:val="0"/>
          <w:numId w:val="10"/>
        </w:numPr>
        <w:tabs>
          <w:tab w:val="clear" w:pos="1701"/>
        </w:tabs>
        <w:spacing w:before="100" w:beforeAutospacing="1"/>
        <w:ind w:left="1701" w:hanging="1701"/>
        <w:rPr>
          <w:rStyle w:val="15"/>
          <w:i w:val="0"/>
          <w:iCs w:val="0"/>
          <w:color w:val="auto"/>
          <w:szCs w:val="24"/>
        </w:rPr>
      </w:pPr>
      <w:r>
        <w:rPr>
          <w:rFonts w:ascii="Times New Roman" w:hAnsi="Times New Roman"/>
        </w:rPr>
        <w:t>If cell (re)selection</w:t>
      </w:r>
      <w:r w:rsidR="00EA2127">
        <w:rPr>
          <w:rFonts w:ascii="Times New Roman" w:hAnsi="Times New Roman"/>
        </w:rPr>
        <w:t xml:space="preserve"> criteria is not well configured</w:t>
      </w:r>
      <w:r w:rsidR="00F13415">
        <w:rPr>
          <w:rFonts w:ascii="Times New Roman" w:hAnsi="Times New Roman"/>
        </w:rPr>
        <w:t>,</w:t>
      </w:r>
      <w:r w:rsidR="00EA2127">
        <w:rPr>
          <w:rFonts w:ascii="Times New Roman" w:hAnsi="Times New Roman"/>
        </w:rPr>
        <w:t xml:space="preserve"> UE along mobile IAB cell may experience unnecessary cell (re)selection ping-pong to/from </w:t>
      </w:r>
      <w:r w:rsidR="00EA2127" w:rsidRPr="008D3CB0">
        <w:rPr>
          <w:rFonts w:ascii="Times New Roman" w:hAnsi="Times New Roman"/>
        </w:rPr>
        <w:t>non-moving cell</w:t>
      </w:r>
      <w:r w:rsidR="008D3CB0" w:rsidRPr="008D3CB0">
        <w:rPr>
          <w:rFonts w:ascii="Times New Roman" w:hAnsi="Times New Roman"/>
        </w:rPr>
        <w:t xml:space="preserve"> from/to mobile IAB cell</w:t>
      </w:r>
    </w:p>
    <w:p w:rsidR="00382EEB" w:rsidRDefault="00F81F49">
      <w:pPr>
        <w:spacing w:before="120" w:after="120" w:line="260" w:lineRule="auto"/>
        <w:jc w:val="both"/>
        <w:rPr>
          <w:rFonts w:eastAsia="等线"/>
          <w:lang w:val="en-GB" w:eastAsia="zh-CN"/>
        </w:rPr>
      </w:pPr>
      <w:r>
        <w:rPr>
          <w:rFonts w:eastAsia="等线"/>
          <w:lang w:val="en-GB" w:eastAsia="zh-CN"/>
        </w:rPr>
        <w:t>To avoid such unnecessary</w:t>
      </w:r>
      <w:r w:rsidR="005371B8">
        <w:rPr>
          <w:rFonts w:eastAsia="等线"/>
          <w:lang w:val="en-GB" w:eastAsia="zh-CN"/>
        </w:rPr>
        <w:t xml:space="preserve"> cell (re)selection </w:t>
      </w:r>
      <w:r w:rsidR="00210A17">
        <w:rPr>
          <w:rFonts w:eastAsia="等线"/>
          <w:lang w:val="en-GB" w:eastAsia="zh-CN"/>
        </w:rPr>
        <w:t xml:space="preserve">criteria for UE (re)selection </w:t>
      </w:r>
      <w:r w:rsidR="00563516">
        <w:rPr>
          <w:rFonts w:eastAsia="等线"/>
          <w:lang w:val="en-GB" w:eastAsia="zh-CN"/>
        </w:rPr>
        <w:t xml:space="preserve">from/normal cell </w:t>
      </w:r>
      <w:r w:rsidR="00210A17">
        <w:rPr>
          <w:rFonts w:eastAsia="等线"/>
          <w:lang w:val="en-GB" w:eastAsia="zh-CN"/>
        </w:rPr>
        <w:t>to</w:t>
      </w:r>
      <w:r w:rsidR="00563516">
        <w:rPr>
          <w:rFonts w:eastAsia="等线"/>
          <w:lang w:val="en-GB" w:eastAsia="zh-CN"/>
        </w:rPr>
        <w:t>/from</w:t>
      </w:r>
      <w:r w:rsidR="00210A17">
        <w:rPr>
          <w:rFonts w:eastAsia="等线"/>
          <w:lang w:val="en-GB" w:eastAsia="zh-CN"/>
        </w:rPr>
        <w:t xml:space="preserve"> mobile IAB cell should </w:t>
      </w:r>
      <w:r w:rsidR="00F13415">
        <w:rPr>
          <w:rFonts w:eastAsia="等线"/>
          <w:lang w:val="en-GB" w:eastAsia="zh-CN"/>
        </w:rPr>
        <w:t xml:space="preserve">be </w:t>
      </w:r>
      <w:r w:rsidR="00210A17">
        <w:rPr>
          <w:rFonts w:eastAsia="等线"/>
          <w:lang w:val="en-GB" w:eastAsia="zh-CN"/>
        </w:rPr>
        <w:t>well configured</w:t>
      </w:r>
      <w:r w:rsidR="00563516">
        <w:rPr>
          <w:rFonts w:eastAsia="等线"/>
          <w:lang w:val="en-GB" w:eastAsia="zh-CN"/>
        </w:rPr>
        <w:t>. For example:</w:t>
      </w:r>
    </w:p>
    <w:p w:rsidR="00AC421B" w:rsidRPr="0053683C" w:rsidRDefault="00563516" w:rsidP="0053683C">
      <w:pPr>
        <w:pStyle w:val="ListParagraph"/>
        <w:numPr>
          <w:ilvl w:val="0"/>
          <w:numId w:val="11"/>
        </w:numPr>
        <w:spacing w:before="120" w:after="120" w:line="260" w:lineRule="auto"/>
        <w:ind w:firstLineChars="0"/>
        <w:rPr>
          <w:rFonts w:ascii="Times New Roman" w:eastAsia="等线" w:hAnsi="Times New Roman"/>
          <w:lang w:val="en-GB"/>
        </w:rPr>
      </w:pPr>
      <w:r w:rsidRPr="0053683C">
        <w:rPr>
          <w:rFonts w:ascii="Times New Roman" w:eastAsia="等线" w:hAnsi="Times New Roman"/>
          <w:lang w:val="en-GB"/>
        </w:rPr>
        <w:t>Configure</w:t>
      </w:r>
      <w:r w:rsidR="00B8200A" w:rsidRPr="0053683C">
        <w:rPr>
          <w:rFonts w:ascii="Times New Roman" w:eastAsia="等线" w:hAnsi="Times New Roman"/>
          <w:lang w:val="en-GB"/>
        </w:rPr>
        <w:t xml:space="preserve"> cell reselection criteria </w:t>
      </w:r>
      <w:r w:rsidR="0053683C" w:rsidRPr="0053683C">
        <w:rPr>
          <w:rFonts w:ascii="Times New Roman" w:eastAsia="等线" w:hAnsi="Times New Roman"/>
          <w:lang w:val="en-GB"/>
        </w:rPr>
        <w:t>for UE</w:t>
      </w:r>
      <w:r w:rsidR="0053683C">
        <w:rPr>
          <w:rFonts w:ascii="Times New Roman" w:eastAsia="等线" w:hAnsi="Times New Roman"/>
          <w:lang w:val="en-GB"/>
        </w:rPr>
        <w:t xml:space="preserve"> (camping on </w:t>
      </w:r>
      <w:r w:rsidR="0053683C" w:rsidRPr="0053683C">
        <w:rPr>
          <w:rFonts w:ascii="Times New Roman" w:eastAsia="等线" w:hAnsi="Times New Roman"/>
          <w:lang w:val="en-GB"/>
        </w:rPr>
        <w:t>normal non-moving cell</w:t>
      </w:r>
      <w:r w:rsidR="0053683C">
        <w:rPr>
          <w:rFonts w:ascii="Times New Roman" w:eastAsia="等线" w:hAnsi="Times New Roman"/>
          <w:lang w:val="en-GB"/>
        </w:rPr>
        <w:t>)</w:t>
      </w:r>
      <w:r w:rsidR="0053683C" w:rsidRPr="0053683C">
        <w:rPr>
          <w:rFonts w:ascii="Times New Roman" w:eastAsia="等线" w:hAnsi="Times New Roman"/>
          <w:lang w:val="en-GB"/>
        </w:rPr>
        <w:t xml:space="preserve"> </w:t>
      </w:r>
      <w:r w:rsidRPr="0053683C">
        <w:rPr>
          <w:rFonts w:ascii="Times New Roman" w:eastAsia="等线" w:hAnsi="Times New Roman"/>
          <w:lang w:val="en-GB"/>
        </w:rPr>
        <w:t>from normal non-moving cell to</w:t>
      </w:r>
      <w:r w:rsidR="00B8200A" w:rsidRPr="0053683C">
        <w:rPr>
          <w:rFonts w:ascii="Times New Roman" w:eastAsia="等线" w:hAnsi="Times New Roman"/>
          <w:lang w:val="en-GB"/>
        </w:rPr>
        <w:t xml:space="preserve"> mobile IAB-node cell.</w:t>
      </w:r>
    </w:p>
    <w:p w:rsidR="00563516" w:rsidRPr="0053683C" w:rsidRDefault="00563516" w:rsidP="0053683C">
      <w:pPr>
        <w:pStyle w:val="ListParagraph"/>
        <w:numPr>
          <w:ilvl w:val="0"/>
          <w:numId w:val="11"/>
        </w:numPr>
        <w:spacing w:before="120" w:after="120" w:line="260" w:lineRule="auto"/>
        <w:ind w:firstLineChars="0"/>
        <w:rPr>
          <w:rFonts w:ascii="Times New Roman" w:eastAsia="等线" w:hAnsi="Times New Roman"/>
          <w:lang w:val="en-GB"/>
        </w:rPr>
      </w:pPr>
      <w:r w:rsidRPr="0053683C">
        <w:rPr>
          <w:rFonts w:ascii="Times New Roman" w:eastAsia="等线" w:hAnsi="Times New Roman"/>
          <w:lang w:val="en-GB"/>
        </w:rPr>
        <w:t xml:space="preserve">Configure cell reselection criteria </w:t>
      </w:r>
      <w:r w:rsidR="0053683C" w:rsidRPr="0053683C">
        <w:rPr>
          <w:rFonts w:ascii="Times New Roman" w:eastAsia="等线" w:hAnsi="Times New Roman"/>
          <w:lang w:val="en-GB"/>
        </w:rPr>
        <w:t>for UE</w:t>
      </w:r>
      <w:r w:rsidR="0053683C">
        <w:rPr>
          <w:rFonts w:ascii="Times New Roman" w:eastAsia="等线" w:hAnsi="Times New Roman"/>
          <w:lang w:val="en-GB"/>
        </w:rPr>
        <w:t xml:space="preserve"> (camping </w:t>
      </w:r>
      <w:r w:rsidR="0053683C" w:rsidRPr="0053683C">
        <w:rPr>
          <w:rFonts w:ascii="Times New Roman" w:eastAsia="等线" w:hAnsi="Times New Roman"/>
          <w:lang w:val="en-GB"/>
        </w:rPr>
        <w:t xml:space="preserve">mobile IAB </w:t>
      </w:r>
      <w:r w:rsidR="0053683C">
        <w:rPr>
          <w:rFonts w:ascii="Times New Roman" w:eastAsia="等线" w:hAnsi="Times New Roman"/>
          <w:lang w:val="en-GB"/>
        </w:rPr>
        <w:t>cell)</w:t>
      </w:r>
      <w:r w:rsidR="0053683C" w:rsidRPr="0053683C">
        <w:rPr>
          <w:rFonts w:ascii="Times New Roman" w:eastAsia="等线" w:hAnsi="Times New Roman"/>
          <w:lang w:val="en-GB"/>
        </w:rPr>
        <w:t xml:space="preserve"> </w:t>
      </w:r>
      <w:r w:rsidRPr="0053683C">
        <w:rPr>
          <w:rFonts w:ascii="Times New Roman" w:eastAsia="等线" w:hAnsi="Times New Roman"/>
          <w:lang w:val="en-GB"/>
        </w:rPr>
        <w:t xml:space="preserve">from mobile IAB </w:t>
      </w:r>
      <w:r w:rsidR="0053683C">
        <w:rPr>
          <w:rFonts w:ascii="Times New Roman" w:eastAsia="等线" w:hAnsi="Times New Roman"/>
          <w:lang w:val="en-GB"/>
        </w:rPr>
        <w:t xml:space="preserve">cell </w:t>
      </w:r>
      <w:r w:rsidRPr="0053683C">
        <w:rPr>
          <w:rFonts w:ascii="Times New Roman" w:eastAsia="等线" w:hAnsi="Times New Roman"/>
          <w:lang w:val="en-GB"/>
        </w:rPr>
        <w:t>to normal non-moving cell.</w:t>
      </w:r>
    </w:p>
    <w:p w:rsidR="0053683C" w:rsidRDefault="0053683C">
      <w:pPr>
        <w:spacing w:after="120"/>
      </w:pPr>
      <w:r>
        <w:t>Therefore,</w:t>
      </w:r>
    </w:p>
    <w:p w:rsidR="0053683C" w:rsidRDefault="0053683C" w:rsidP="0053683C">
      <w:pPr>
        <w:pStyle w:val="Proposal"/>
        <w:numPr>
          <w:ilvl w:val="0"/>
          <w:numId w:val="12"/>
        </w:numPr>
        <w:tabs>
          <w:tab w:val="clear" w:pos="1304"/>
        </w:tabs>
        <w:ind w:left="1701" w:hanging="1701"/>
        <w:rPr>
          <w:rFonts w:ascii="Times New Roman" w:eastAsia="宋体" w:hAnsi="Times New Roman"/>
        </w:rPr>
      </w:pPr>
      <w:r>
        <w:rPr>
          <w:rFonts w:ascii="Times New Roman" w:eastAsia="宋体" w:hAnsi="Times New Roman"/>
        </w:rPr>
        <w:t>RAN2 to discuss UE cell reselection criteria as follow:</w:t>
      </w:r>
    </w:p>
    <w:p w:rsidR="0053683C" w:rsidRPr="00507076" w:rsidRDefault="0053683C" w:rsidP="00507076">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cell reselection criteria for UE (camping on normal non-moving cell) from normal non-moving cell to mobile IAB-node cell.</w:t>
      </w:r>
    </w:p>
    <w:p w:rsidR="0053683C" w:rsidRPr="00507076" w:rsidRDefault="0053683C" w:rsidP="00507076">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cell reselection criteria for UE (camping mobile IAB cell) from mobile IAB cell to normal non-moving cell.</w:t>
      </w:r>
    </w:p>
    <w:p w:rsidR="00AC421B" w:rsidRDefault="002574E5">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PCI collision between mobile IAB cell and non-moving cell</w:t>
      </w:r>
    </w:p>
    <w:p w:rsidR="003820D5" w:rsidRDefault="00B8200A" w:rsidP="00510155">
      <w:pPr>
        <w:spacing w:before="120" w:after="120" w:line="260" w:lineRule="auto"/>
        <w:rPr>
          <w:rFonts w:eastAsia="等线"/>
          <w:lang w:val="en-GB" w:eastAsia="zh-CN"/>
        </w:rPr>
      </w:pPr>
      <w:r>
        <w:rPr>
          <w:rFonts w:eastAsia="等线"/>
          <w:lang w:val="en-GB" w:eastAsia="zh-CN"/>
        </w:rPr>
        <w:t xml:space="preserve">As </w:t>
      </w:r>
      <w:r w:rsidR="00510155">
        <w:rPr>
          <w:rFonts w:eastAsia="等线"/>
          <w:lang w:val="en-GB" w:eastAsia="zh-CN"/>
        </w:rPr>
        <w:t>mobile IAB moves around normal non-moving cells, it may happen that mobile IAB cell PCI collide with a non-moving cell</w:t>
      </w:r>
      <w:r w:rsidR="003820D5">
        <w:rPr>
          <w:rFonts w:eastAsia="等线"/>
          <w:lang w:val="en-GB" w:eastAsia="zh-CN"/>
        </w:rPr>
        <w:t>. Such PCI collision may affect users</w:t>
      </w:r>
      <w:r w:rsidR="00F13415">
        <w:rPr>
          <w:rFonts w:eastAsia="等线"/>
          <w:lang w:val="en-GB" w:eastAsia="zh-CN"/>
        </w:rPr>
        <w:t>'</w:t>
      </w:r>
      <w:r w:rsidR="003820D5">
        <w:rPr>
          <w:rFonts w:eastAsia="等线"/>
          <w:lang w:val="en-GB" w:eastAsia="zh-CN"/>
        </w:rPr>
        <w:t xml:space="preserve"> service experience both for UE camping on the mobile IAB cell and UE camping on non-moving cells.</w:t>
      </w:r>
    </w:p>
    <w:p w:rsidR="00047995" w:rsidRPr="00047995" w:rsidRDefault="00863362" w:rsidP="00476E5F">
      <w:pPr>
        <w:pStyle w:val="Observation"/>
        <w:numPr>
          <w:ilvl w:val="0"/>
          <w:numId w:val="10"/>
        </w:numPr>
        <w:tabs>
          <w:tab w:val="clear" w:pos="1701"/>
        </w:tabs>
        <w:spacing w:before="120" w:beforeAutospacing="1" w:line="260" w:lineRule="auto"/>
        <w:ind w:left="1701" w:hanging="1701"/>
        <w:rPr>
          <w:rFonts w:ascii="Times New Roman" w:hAnsi="Times New Roman"/>
        </w:rPr>
      </w:pPr>
      <w:r w:rsidRPr="00047995">
        <w:rPr>
          <w:rFonts w:ascii="Times New Roman" w:hAnsi="Times New Roman"/>
        </w:rPr>
        <w:t xml:space="preserve">Due to mobile IAB mobility, PCI collision may happen between </w:t>
      </w:r>
      <w:r w:rsidRPr="00047995">
        <w:rPr>
          <w:rFonts w:ascii="Times New Roman" w:eastAsia="等线" w:hAnsi="Times New Roman"/>
          <w:lang w:eastAsia="zh-CN"/>
        </w:rPr>
        <w:t>mobile IAB cell and non-moving cell</w:t>
      </w:r>
      <w:r w:rsidRPr="00047995">
        <w:rPr>
          <w:rFonts w:ascii="Times New Roman" w:hAnsi="Times New Roman"/>
        </w:rPr>
        <w:t xml:space="preserve"> </w:t>
      </w:r>
    </w:p>
    <w:p w:rsidR="003820D5" w:rsidRPr="00047995" w:rsidRDefault="003820D5" w:rsidP="00047995">
      <w:pPr>
        <w:spacing w:before="120" w:after="120" w:line="260" w:lineRule="auto"/>
        <w:rPr>
          <w:rFonts w:eastAsia="等线"/>
        </w:rPr>
      </w:pPr>
      <w:r w:rsidRPr="00047995">
        <w:rPr>
          <w:rFonts w:eastAsia="等线"/>
        </w:rPr>
        <w:t>To resolve such potential PCI collision the following approaches can be considered:</w:t>
      </w:r>
    </w:p>
    <w:p w:rsidR="00863362" w:rsidRDefault="003820D5" w:rsidP="00510155">
      <w:pPr>
        <w:spacing w:before="120" w:after="120" w:line="260" w:lineRule="auto"/>
        <w:rPr>
          <w:rFonts w:eastAsia="等线"/>
        </w:rPr>
      </w:pPr>
      <w:r>
        <w:rPr>
          <w:rFonts w:eastAsia="等线"/>
        </w:rPr>
        <w:t>PCI management to have separate</w:t>
      </w:r>
      <w:r w:rsidR="00863362">
        <w:rPr>
          <w:rFonts w:eastAsia="等线"/>
        </w:rPr>
        <w:t xml:space="preserve"> set of PCIs: one set for mobile IAB cell and one set for non-moving cell</w:t>
      </w:r>
    </w:p>
    <w:p w:rsidR="00047995" w:rsidRPr="00047995" w:rsidRDefault="00047995" w:rsidP="00047995">
      <w:pPr>
        <w:pStyle w:val="ListParagraph"/>
        <w:numPr>
          <w:ilvl w:val="0"/>
          <w:numId w:val="11"/>
        </w:numPr>
        <w:spacing w:before="120" w:after="120" w:line="260" w:lineRule="auto"/>
        <w:ind w:firstLineChars="0"/>
        <w:rPr>
          <w:rFonts w:ascii="Times New Roman" w:eastAsia="等线" w:hAnsi="Times New Roman"/>
          <w:lang w:val="en-GB"/>
        </w:rPr>
      </w:pPr>
      <w:r w:rsidRPr="000A6D0F">
        <w:rPr>
          <w:rFonts w:ascii="Times New Roman" w:eastAsia="等线" w:hAnsi="Times New Roman"/>
          <w:b/>
          <w:lang w:val="en-GB"/>
        </w:rPr>
        <w:t>Option 1</w:t>
      </w:r>
      <w:r w:rsidRPr="00047995">
        <w:rPr>
          <w:rFonts w:ascii="Times New Roman" w:eastAsia="等线" w:hAnsi="Times New Roman"/>
          <w:lang w:val="en-GB"/>
        </w:rPr>
        <w:t>: PCI management to have separate set of PCIs: one set for mobile IAB cell and one set for non-moving cell</w:t>
      </w:r>
    </w:p>
    <w:p w:rsidR="00047995" w:rsidRPr="00047995" w:rsidRDefault="00047995" w:rsidP="00047995">
      <w:pPr>
        <w:pStyle w:val="ListParagraph"/>
        <w:numPr>
          <w:ilvl w:val="0"/>
          <w:numId w:val="11"/>
        </w:numPr>
        <w:spacing w:before="120" w:after="120" w:line="260" w:lineRule="auto"/>
        <w:ind w:firstLineChars="0"/>
        <w:rPr>
          <w:rFonts w:ascii="Times New Roman" w:eastAsia="等线" w:hAnsi="Times New Roman"/>
          <w:lang w:val="en-GB"/>
        </w:rPr>
      </w:pPr>
      <w:r w:rsidRPr="000A6D0F">
        <w:rPr>
          <w:rFonts w:ascii="Times New Roman" w:eastAsia="等线" w:hAnsi="Times New Roman"/>
          <w:b/>
          <w:lang w:val="en-GB"/>
        </w:rPr>
        <w:t>Option 2</w:t>
      </w:r>
      <w:r w:rsidRPr="00047995">
        <w:rPr>
          <w:rFonts w:ascii="Times New Roman" w:eastAsia="等线" w:hAnsi="Times New Roman"/>
          <w:lang w:val="en-GB"/>
        </w:rPr>
        <w:t>: Introduce a mechanism to mitigate PCI collision along mobile IAB mobility trajectory.</w:t>
      </w:r>
    </w:p>
    <w:p w:rsidR="003820D5" w:rsidRDefault="0087684F" w:rsidP="00510155">
      <w:pPr>
        <w:spacing w:before="120" w:after="120" w:line="260" w:lineRule="auto"/>
        <w:rPr>
          <w:rFonts w:eastAsia="等线"/>
        </w:rPr>
      </w:pPr>
      <w:r w:rsidRPr="0087684F">
        <w:rPr>
          <w:rFonts w:eastAsia="等线"/>
          <w:b/>
        </w:rPr>
        <w:t>Option 1</w:t>
      </w:r>
      <w:r>
        <w:rPr>
          <w:rFonts w:eastAsia="等线"/>
        </w:rPr>
        <w:t xml:space="preserve"> is simple and does not require any standardization effort. But, this may restrict operator PCI allocation flexibility for non-moving cell, the PCI set would be restricted to less than the normal number for network deployment. </w:t>
      </w:r>
    </w:p>
    <w:p w:rsidR="0087684F" w:rsidRDefault="0087684F" w:rsidP="00510155">
      <w:pPr>
        <w:spacing w:before="120" w:after="120" w:line="260" w:lineRule="auto"/>
        <w:rPr>
          <w:rFonts w:eastAsia="等线"/>
        </w:rPr>
      </w:pPr>
      <w:r w:rsidRPr="0087684F">
        <w:rPr>
          <w:rFonts w:eastAsia="等线"/>
          <w:b/>
        </w:rPr>
        <w:t>Option 2</w:t>
      </w:r>
      <w:r>
        <w:rPr>
          <w:rFonts w:eastAsia="等线"/>
        </w:rPr>
        <w:t xml:space="preserve"> is more flexible for PCI allocation. But, this may require perpetual PCI collision avoidance along mobile IAB moving trajectory. For example, if PCI collision occurs, mobile IAB cell changes its PCI.</w:t>
      </w:r>
    </w:p>
    <w:p w:rsidR="00510155" w:rsidRPr="0087684F" w:rsidRDefault="0087684F" w:rsidP="0087684F">
      <w:pPr>
        <w:pStyle w:val="Proposal"/>
        <w:numPr>
          <w:ilvl w:val="0"/>
          <w:numId w:val="12"/>
        </w:numPr>
        <w:tabs>
          <w:tab w:val="clear" w:pos="1304"/>
        </w:tabs>
        <w:ind w:left="1701" w:hanging="1701"/>
        <w:rPr>
          <w:rFonts w:ascii="Times New Roman" w:eastAsia="宋体" w:hAnsi="Times New Roman"/>
        </w:rPr>
      </w:pPr>
      <w:r w:rsidRPr="0087684F">
        <w:rPr>
          <w:rFonts w:ascii="Times New Roman" w:eastAsia="宋体" w:hAnsi="Times New Roman"/>
        </w:rPr>
        <w:t>RAN2 to discuss how to resolve PCI collision between mobile IAB cell and non-moving cell</w:t>
      </w:r>
      <w:r w:rsidR="00A3714B">
        <w:rPr>
          <w:rFonts w:ascii="Times New Roman" w:eastAsia="宋体" w:hAnsi="Times New Roman"/>
        </w:rPr>
        <w:t xml:space="preserve">. E.g., </w:t>
      </w:r>
    </w:p>
    <w:p w:rsidR="00A3714B" w:rsidRPr="00507076" w:rsidRDefault="00A3714B" w:rsidP="00507076">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PCI management to have separate set of PCIs: one set for mobile IAB cell and one set for non-moving cell, or</w:t>
      </w:r>
    </w:p>
    <w:p w:rsidR="00A3714B" w:rsidRPr="00507076" w:rsidRDefault="00A3714B" w:rsidP="00507076">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Introduce a mechanism to mitigate PCI collision along mobile IAB mobility trajectory.</w:t>
      </w:r>
    </w:p>
    <w:p w:rsidR="00AC421B" w:rsidRDefault="00AC421B" w:rsidP="00507076">
      <w:pPr>
        <w:pStyle w:val="Proposal"/>
        <w:ind w:left="1701"/>
        <w:rPr>
          <w:rFonts w:ascii="Times New Roman" w:eastAsia="宋体" w:hAnsi="Times New Roman"/>
        </w:rPr>
      </w:pPr>
    </w:p>
    <w:p w:rsidR="00AC421B" w:rsidRDefault="00B8200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lastRenderedPageBreak/>
        <w:t>Conclusion</w:t>
      </w:r>
    </w:p>
    <w:bookmarkEnd w:id="0"/>
    <w:bookmarkEnd w:id="1"/>
    <w:p w:rsidR="00AC421B" w:rsidRDefault="00B8200A">
      <w:pPr>
        <w:pStyle w:val="BodyText"/>
        <w:rPr>
          <w:rFonts w:eastAsia="宋体"/>
          <w:b/>
          <w:lang w:val="en-GB" w:eastAsia="zh-CN"/>
        </w:rPr>
      </w:pPr>
      <w:r>
        <w:rPr>
          <w:rFonts w:eastAsia="宋体"/>
          <w:lang w:val="en-GB" w:eastAsia="zh-CN"/>
        </w:rPr>
        <w:t>In this paper, the following observations and proposal are given:</w:t>
      </w:r>
    </w:p>
    <w:p w:rsidR="00507076" w:rsidRPr="00507076" w:rsidRDefault="00507076" w:rsidP="00507076">
      <w:pPr>
        <w:pStyle w:val="Observation"/>
        <w:numPr>
          <w:ilvl w:val="0"/>
          <w:numId w:val="14"/>
        </w:numPr>
        <w:tabs>
          <w:tab w:val="clear" w:pos="1701"/>
        </w:tabs>
        <w:spacing w:before="120" w:beforeAutospacing="1" w:line="260" w:lineRule="auto"/>
        <w:ind w:left="1701" w:hanging="1701"/>
      </w:pPr>
      <w:r>
        <w:rPr>
          <w:rFonts w:ascii="Times New Roman" w:hAnsi="Times New Roman"/>
        </w:rPr>
        <w:t>If cell (re)selection criteria is not well configured</w:t>
      </w:r>
      <w:r w:rsidR="00F13415">
        <w:rPr>
          <w:rFonts w:ascii="Times New Roman" w:hAnsi="Times New Roman"/>
        </w:rPr>
        <w:t>,</w:t>
      </w:r>
      <w:r>
        <w:rPr>
          <w:rFonts w:ascii="Times New Roman" w:hAnsi="Times New Roman"/>
        </w:rPr>
        <w:t xml:space="preserve"> UE along mobile IAB cell may experience unnecessary cell (re)selection ping-pong to/from </w:t>
      </w:r>
      <w:r w:rsidRPr="008D3CB0">
        <w:rPr>
          <w:rFonts w:ascii="Times New Roman" w:hAnsi="Times New Roman"/>
        </w:rPr>
        <w:t>non-moving cell from/to mobile IAB cell</w:t>
      </w:r>
    </w:p>
    <w:p w:rsidR="00507076" w:rsidRPr="00047995" w:rsidRDefault="00507076" w:rsidP="00507076">
      <w:pPr>
        <w:pStyle w:val="Observation"/>
        <w:numPr>
          <w:ilvl w:val="0"/>
          <w:numId w:val="14"/>
        </w:numPr>
        <w:tabs>
          <w:tab w:val="clear" w:pos="1701"/>
        </w:tabs>
        <w:spacing w:before="120" w:beforeAutospacing="1" w:line="260" w:lineRule="auto"/>
        <w:ind w:left="1701" w:hanging="1701"/>
        <w:rPr>
          <w:rFonts w:ascii="Times New Roman" w:hAnsi="Times New Roman"/>
        </w:rPr>
      </w:pPr>
      <w:r w:rsidRPr="00047995">
        <w:rPr>
          <w:rFonts w:ascii="Times New Roman" w:hAnsi="Times New Roman"/>
        </w:rPr>
        <w:t xml:space="preserve">Due to mobile IAB mobility, PCI collision may happen between </w:t>
      </w:r>
      <w:r w:rsidRPr="00047995">
        <w:rPr>
          <w:rFonts w:ascii="Times New Roman" w:eastAsia="等线" w:hAnsi="Times New Roman"/>
          <w:lang w:eastAsia="zh-CN"/>
        </w:rPr>
        <w:t>mobile IAB cell and non-moving cell</w:t>
      </w:r>
      <w:r w:rsidRPr="00047995">
        <w:rPr>
          <w:rFonts w:ascii="Times New Roman" w:hAnsi="Times New Roman"/>
        </w:rPr>
        <w:t xml:space="preserve"> </w:t>
      </w:r>
    </w:p>
    <w:p w:rsidR="00AC421B" w:rsidRDefault="00507076">
      <w:pPr>
        <w:pStyle w:val="BodyText"/>
        <w:ind w:left="1440" w:hanging="1440"/>
        <w:rPr>
          <w:bCs/>
        </w:rPr>
      </w:pPr>
      <w:r>
        <w:rPr>
          <w:bCs/>
        </w:rPr>
        <w:t>And</w:t>
      </w:r>
      <w:r w:rsidR="00B752D2">
        <w:rPr>
          <w:bCs/>
        </w:rPr>
        <w:tab/>
      </w:r>
    </w:p>
    <w:p w:rsidR="00B752D2" w:rsidRDefault="00B752D2" w:rsidP="00B752D2">
      <w:pPr>
        <w:pStyle w:val="Proposal"/>
        <w:numPr>
          <w:ilvl w:val="0"/>
          <w:numId w:val="15"/>
        </w:numPr>
        <w:tabs>
          <w:tab w:val="clear" w:pos="1304"/>
        </w:tabs>
        <w:ind w:left="1701" w:hanging="1701"/>
        <w:rPr>
          <w:rFonts w:ascii="Times New Roman" w:eastAsia="宋体" w:hAnsi="Times New Roman"/>
        </w:rPr>
      </w:pPr>
      <w:r>
        <w:rPr>
          <w:rFonts w:ascii="Times New Roman" w:eastAsia="宋体" w:hAnsi="Times New Roman"/>
        </w:rPr>
        <w:t>RAN2 to discuss UE cell reselection criteria as follow:</w:t>
      </w:r>
    </w:p>
    <w:p w:rsidR="00B752D2" w:rsidRPr="00507076" w:rsidRDefault="00B752D2" w:rsidP="00B752D2">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cell reselection criteria for UE (camping on normal non-moving cell) from normal non-moving cell to mobile IAB-node cell.</w:t>
      </w:r>
    </w:p>
    <w:p w:rsidR="00B752D2" w:rsidRPr="00507076" w:rsidRDefault="00B752D2" w:rsidP="00B752D2">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cell reselection criteria for UE (camping mobile IAB cell) from mobile IAB cell to normal non-moving cell.</w:t>
      </w:r>
    </w:p>
    <w:p w:rsidR="00507076" w:rsidRDefault="00507076">
      <w:pPr>
        <w:pStyle w:val="BodyText"/>
        <w:ind w:left="1440" w:hanging="1440"/>
        <w:rPr>
          <w:bCs/>
        </w:rPr>
      </w:pPr>
    </w:p>
    <w:p w:rsidR="00B752D2" w:rsidRPr="0087684F" w:rsidRDefault="00B752D2" w:rsidP="00B752D2">
      <w:pPr>
        <w:pStyle w:val="Proposal"/>
        <w:numPr>
          <w:ilvl w:val="0"/>
          <w:numId w:val="15"/>
        </w:numPr>
        <w:tabs>
          <w:tab w:val="clear" w:pos="1304"/>
        </w:tabs>
        <w:ind w:left="1701" w:hanging="1701"/>
        <w:rPr>
          <w:rFonts w:ascii="Times New Roman" w:eastAsia="宋体" w:hAnsi="Times New Roman"/>
        </w:rPr>
      </w:pPr>
      <w:r w:rsidRPr="0087684F">
        <w:rPr>
          <w:rFonts w:ascii="Times New Roman" w:eastAsia="宋体" w:hAnsi="Times New Roman"/>
        </w:rPr>
        <w:t>RAN2 to discuss how to resolve PCI collision between mobile IAB cell and non-moving cell</w:t>
      </w:r>
      <w:r>
        <w:rPr>
          <w:rFonts w:ascii="Times New Roman" w:eastAsia="宋体" w:hAnsi="Times New Roman"/>
        </w:rPr>
        <w:t xml:space="preserve">. E.g., </w:t>
      </w:r>
    </w:p>
    <w:p w:rsidR="00B752D2" w:rsidRPr="00507076" w:rsidRDefault="00B752D2" w:rsidP="00B752D2">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PCI management to have separate set of PCIs: one set for mobile IAB cell and one set for non-moving cell, or</w:t>
      </w:r>
    </w:p>
    <w:p w:rsidR="00B752D2" w:rsidRPr="00507076" w:rsidRDefault="00B752D2" w:rsidP="00B752D2">
      <w:pPr>
        <w:pStyle w:val="ListParagraph"/>
        <w:numPr>
          <w:ilvl w:val="0"/>
          <w:numId w:val="11"/>
        </w:numPr>
        <w:spacing w:before="120" w:after="120" w:line="259" w:lineRule="auto"/>
        <w:ind w:left="2058" w:firstLineChars="0" w:hanging="357"/>
        <w:rPr>
          <w:rFonts w:ascii="Times New Roman" w:eastAsia="等线" w:hAnsi="Times New Roman"/>
          <w:b/>
          <w:sz w:val="20"/>
          <w:szCs w:val="20"/>
          <w:lang w:val="en-GB"/>
        </w:rPr>
      </w:pPr>
      <w:r w:rsidRPr="00507076">
        <w:rPr>
          <w:rFonts w:ascii="Times New Roman" w:eastAsia="等线" w:hAnsi="Times New Roman"/>
          <w:b/>
          <w:sz w:val="20"/>
          <w:szCs w:val="20"/>
          <w:lang w:val="en-GB"/>
        </w:rPr>
        <w:t>Introduce a mechanism to mitigate PCI collision along mobile IAB mobility trajectory.</w:t>
      </w:r>
    </w:p>
    <w:p w:rsidR="00AC421B" w:rsidRDefault="00AC421B">
      <w:pPr>
        <w:pStyle w:val="BodyText"/>
        <w:ind w:left="1440" w:hanging="1440"/>
        <w:rPr>
          <w:rFonts w:eastAsia="宋体"/>
          <w:b/>
          <w:lang w:eastAsia="zh-CN"/>
        </w:rPr>
      </w:pPr>
    </w:p>
    <w:p w:rsidR="00AC421B" w:rsidRDefault="00B8200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rsidR="00AC421B" w:rsidRDefault="00B8200A">
      <w:pPr>
        <w:numPr>
          <w:ilvl w:val="0"/>
          <w:numId w:val="13"/>
        </w:numPr>
        <w:rPr>
          <w:rFonts w:eastAsia="宋体"/>
          <w:color w:val="000000"/>
          <w:lang w:val="en-GB" w:eastAsia="ja-JP"/>
        </w:rPr>
      </w:pPr>
      <w:r>
        <w:t>RP-221815</w:t>
      </w:r>
      <w:r>
        <w:rPr>
          <w:rFonts w:eastAsia="宋体"/>
          <w:color w:val="000000"/>
          <w:lang w:eastAsia="zh-CN"/>
        </w:rPr>
        <w:t>,</w:t>
      </w:r>
      <w:r>
        <w:rPr>
          <w:rFonts w:eastAsia="宋体" w:hint="eastAsia"/>
          <w:color w:val="000000"/>
          <w:lang w:eastAsia="zh-CN"/>
        </w:rPr>
        <w:t xml:space="preserve"> </w:t>
      </w:r>
      <w:r>
        <w:rPr>
          <w:rFonts w:eastAsia="宋体"/>
          <w:color w:val="000000"/>
          <w:lang w:eastAsia="zh-CN"/>
        </w:rPr>
        <w:t>Mobile IAB (Integrated Access and Backhaul) for NR</w:t>
      </w:r>
    </w:p>
    <w:sectPr w:rsidR="00AC421B">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CF3" w:rsidRDefault="00200CF3">
      <w:r>
        <w:separator/>
      </w:r>
    </w:p>
  </w:endnote>
  <w:endnote w:type="continuationSeparator" w:id="0">
    <w:p w:rsidR="00200CF3" w:rsidRDefault="00200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CF3" w:rsidRDefault="00200CF3">
      <w:r>
        <w:separator/>
      </w:r>
    </w:p>
  </w:footnote>
  <w:footnote w:type="continuationSeparator" w:id="0">
    <w:p w:rsidR="00200CF3" w:rsidRDefault="00200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21B" w:rsidRDefault="00AC421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61829"/>
    <w:multiLevelType w:val="multilevel"/>
    <w:tmpl w:val="18361829"/>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13A372B"/>
    <w:multiLevelType w:val="multilevel"/>
    <w:tmpl w:val="613A372B"/>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58908B0"/>
    <w:multiLevelType w:val="multilevel"/>
    <w:tmpl w:val="65890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662019B"/>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6722530B"/>
    <w:multiLevelType w:val="multilevel"/>
    <w:tmpl w:val="6722530B"/>
    <w:lvl w:ilvl="0">
      <w:start w:val="4"/>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2E0263"/>
    <w:multiLevelType w:val="multilevel"/>
    <w:tmpl w:val="3AA46647"/>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5"/>
  </w:num>
  <w:num w:numId="3">
    <w:abstractNumId w:val="2"/>
  </w:num>
  <w:num w:numId="4">
    <w:abstractNumId w:val="4"/>
  </w:num>
  <w:num w:numId="5">
    <w:abstractNumId w:val="12"/>
  </w:num>
  <w:num w:numId="6">
    <w:abstractNumId w:val="11"/>
  </w:num>
  <w:num w:numId="7">
    <w:abstractNumId w:val="7"/>
  </w:num>
  <w:num w:numId="8">
    <w:abstractNumId w:val="9"/>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14"/>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FA3"/>
    <w:rsid w:val="000C3170"/>
    <w:rsid w:val="000C31B8"/>
    <w:rsid w:val="000C345D"/>
    <w:rsid w:val="000C3B16"/>
    <w:rsid w:val="000C3CFF"/>
    <w:rsid w:val="000C472E"/>
    <w:rsid w:val="000C4D73"/>
    <w:rsid w:val="000C4D87"/>
    <w:rsid w:val="000C515A"/>
    <w:rsid w:val="000C6024"/>
    <w:rsid w:val="000C6385"/>
    <w:rsid w:val="000C6AD0"/>
    <w:rsid w:val="000C73A4"/>
    <w:rsid w:val="000D08C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8CC"/>
    <w:rsid w:val="00120A72"/>
    <w:rsid w:val="00121651"/>
    <w:rsid w:val="001216B6"/>
    <w:rsid w:val="00121DA2"/>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0CF3"/>
    <w:rsid w:val="00201137"/>
    <w:rsid w:val="00201211"/>
    <w:rsid w:val="002017E2"/>
    <w:rsid w:val="00201D35"/>
    <w:rsid w:val="0020210B"/>
    <w:rsid w:val="002021E9"/>
    <w:rsid w:val="002021EF"/>
    <w:rsid w:val="0020252D"/>
    <w:rsid w:val="00202F18"/>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A17"/>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9EC"/>
    <w:rsid w:val="00295B3F"/>
    <w:rsid w:val="00296077"/>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0D83"/>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12D"/>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731"/>
    <w:rsid w:val="00366D27"/>
    <w:rsid w:val="00367E11"/>
    <w:rsid w:val="0037093A"/>
    <w:rsid w:val="00370C1B"/>
    <w:rsid w:val="00370D82"/>
    <w:rsid w:val="00371114"/>
    <w:rsid w:val="0037196E"/>
    <w:rsid w:val="00371D3F"/>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10B1"/>
    <w:rsid w:val="0038176D"/>
    <w:rsid w:val="003817C3"/>
    <w:rsid w:val="003820D5"/>
    <w:rsid w:val="00382341"/>
    <w:rsid w:val="00382699"/>
    <w:rsid w:val="00382EEB"/>
    <w:rsid w:val="003835FA"/>
    <w:rsid w:val="00384388"/>
    <w:rsid w:val="003845E9"/>
    <w:rsid w:val="00384660"/>
    <w:rsid w:val="00384CFE"/>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3AB5"/>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296D"/>
    <w:rsid w:val="00412A5D"/>
    <w:rsid w:val="00413096"/>
    <w:rsid w:val="0041344F"/>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97C"/>
    <w:rsid w:val="00480BFA"/>
    <w:rsid w:val="00480DC5"/>
    <w:rsid w:val="0048149D"/>
    <w:rsid w:val="0048152B"/>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9FD"/>
    <w:rsid w:val="00490021"/>
    <w:rsid w:val="0049009D"/>
    <w:rsid w:val="004900BE"/>
    <w:rsid w:val="00490991"/>
    <w:rsid w:val="00490C33"/>
    <w:rsid w:val="00490E14"/>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73"/>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28A"/>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076"/>
    <w:rsid w:val="00507252"/>
    <w:rsid w:val="005076E8"/>
    <w:rsid w:val="005079D8"/>
    <w:rsid w:val="0051003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83C"/>
    <w:rsid w:val="00536B5C"/>
    <w:rsid w:val="0053711E"/>
    <w:rsid w:val="00537131"/>
    <w:rsid w:val="005371B8"/>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EC5"/>
    <w:rsid w:val="00546680"/>
    <w:rsid w:val="00546CB6"/>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3516"/>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1FF0"/>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BF6"/>
    <w:rsid w:val="005F0EA7"/>
    <w:rsid w:val="005F0F5F"/>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9D8"/>
    <w:rsid w:val="006433B8"/>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6D1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ACD"/>
    <w:rsid w:val="00694DA3"/>
    <w:rsid w:val="00694F03"/>
    <w:rsid w:val="00694F8C"/>
    <w:rsid w:val="0069501D"/>
    <w:rsid w:val="006960F5"/>
    <w:rsid w:val="00696843"/>
    <w:rsid w:val="00696A75"/>
    <w:rsid w:val="00696B5D"/>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F22"/>
    <w:rsid w:val="006C1F58"/>
    <w:rsid w:val="006C29CE"/>
    <w:rsid w:val="006C3100"/>
    <w:rsid w:val="006C3673"/>
    <w:rsid w:val="006C387D"/>
    <w:rsid w:val="006C3B7A"/>
    <w:rsid w:val="006C3D77"/>
    <w:rsid w:val="006C400E"/>
    <w:rsid w:val="006C632F"/>
    <w:rsid w:val="006C65E2"/>
    <w:rsid w:val="006C6B7C"/>
    <w:rsid w:val="006C6DFE"/>
    <w:rsid w:val="006C6EB3"/>
    <w:rsid w:val="006C703C"/>
    <w:rsid w:val="006C7318"/>
    <w:rsid w:val="006C7F83"/>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23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4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304B"/>
    <w:rsid w:val="007F39CE"/>
    <w:rsid w:val="007F3ACC"/>
    <w:rsid w:val="007F3DC9"/>
    <w:rsid w:val="007F3F4D"/>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581"/>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362"/>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7B0"/>
    <w:rsid w:val="008A2C7C"/>
    <w:rsid w:val="008A2FBA"/>
    <w:rsid w:val="008A3493"/>
    <w:rsid w:val="008A3614"/>
    <w:rsid w:val="008A385D"/>
    <w:rsid w:val="008A4040"/>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3EF2"/>
    <w:rsid w:val="008B4865"/>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3CB0"/>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4D3F"/>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C41"/>
    <w:rsid w:val="00963E89"/>
    <w:rsid w:val="0096408F"/>
    <w:rsid w:val="00964425"/>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01A"/>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62"/>
    <w:rsid w:val="009D3EF2"/>
    <w:rsid w:val="009D4132"/>
    <w:rsid w:val="009D48DA"/>
    <w:rsid w:val="009D5D3A"/>
    <w:rsid w:val="009D66E2"/>
    <w:rsid w:val="009D71D0"/>
    <w:rsid w:val="009D75B8"/>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07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B30"/>
    <w:rsid w:val="00A44108"/>
    <w:rsid w:val="00A4477A"/>
    <w:rsid w:val="00A44993"/>
    <w:rsid w:val="00A457E1"/>
    <w:rsid w:val="00A45A9C"/>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B07"/>
    <w:rsid w:val="00A56166"/>
    <w:rsid w:val="00A56D6B"/>
    <w:rsid w:val="00A56DC5"/>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658"/>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EBD"/>
    <w:rsid w:val="00AE2001"/>
    <w:rsid w:val="00AE21B4"/>
    <w:rsid w:val="00AE246C"/>
    <w:rsid w:val="00AE25C6"/>
    <w:rsid w:val="00AE3A77"/>
    <w:rsid w:val="00AE3AC0"/>
    <w:rsid w:val="00AE4342"/>
    <w:rsid w:val="00AE45D9"/>
    <w:rsid w:val="00AE465E"/>
    <w:rsid w:val="00AE49C1"/>
    <w:rsid w:val="00AE4B48"/>
    <w:rsid w:val="00AE4C0A"/>
    <w:rsid w:val="00AE51CB"/>
    <w:rsid w:val="00AE53E7"/>
    <w:rsid w:val="00AE543D"/>
    <w:rsid w:val="00AE56A1"/>
    <w:rsid w:val="00AE586B"/>
    <w:rsid w:val="00AE5CB3"/>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C1A"/>
    <w:rsid w:val="00B14FDF"/>
    <w:rsid w:val="00B15097"/>
    <w:rsid w:val="00B1521D"/>
    <w:rsid w:val="00B15672"/>
    <w:rsid w:val="00B15B29"/>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6BB"/>
    <w:rsid w:val="00B36CFB"/>
    <w:rsid w:val="00B3705D"/>
    <w:rsid w:val="00B37336"/>
    <w:rsid w:val="00B377BB"/>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AED"/>
    <w:rsid w:val="00B73F2B"/>
    <w:rsid w:val="00B752D2"/>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90955"/>
    <w:rsid w:val="00C913AC"/>
    <w:rsid w:val="00C918FD"/>
    <w:rsid w:val="00C91FEC"/>
    <w:rsid w:val="00C92255"/>
    <w:rsid w:val="00C922E5"/>
    <w:rsid w:val="00C92653"/>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4385"/>
    <w:rsid w:val="00CA43C5"/>
    <w:rsid w:val="00CA43CA"/>
    <w:rsid w:val="00CA4564"/>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0C2"/>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19CF"/>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5272"/>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382"/>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127"/>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AF3"/>
    <w:rsid w:val="00F76BCC"/>
    <w:rsid w:val="00F77167"/>
    <w:rsid w:val="00F776E5"/>
    <w:rsid w:val="00F80204"/>
    <w:rsid w:val="00F80723"/>
    <w:rsid w:val="00F81119"/>
    <w:rsid w:val="00F8141B"/>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225F"/>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3C81"/>
    <w:rsid w:val="00FD425B"/>
    <w:rsid w:val="00FD430A"/>
    <w:rsid w:val="00FD4A11"/>
    <w:rsid w:val="00FD4E1E"/>
    <w:rsid w:val="00FD5413"/>
    <w:rsid w:val="00FD5A70"/>
    <w:rsid w:val="00FD5BE3"/>
    <w:rsid w:val="00FD5D01"/>
    <w:rsid w:val="00FD5D3B"/>
    <w:rsid w:val="00FD6141"/>
    <w:rsid w:val="00FD6371"/>
    <w:rsid w:val="00FD6708"/>
    <w:rsid w:val="00FD717E"/>
    <w:rsid w:val="00FD75A5"/>
    <w:rsid w:val="00FE0346"/>
    <w:rsid w:val="00FE038E"/>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1D4250A2"/>
    <w:rsid w:val="26FA2DB6"/>
    <w:rsid w:val="2A1345F2"/>
    <w:rsid w:val="34B87558"/>
    <w:rsid w:val="4D2C03C9"/>
    <w:rsid w:val="51F72F60"/>
    <w:rsid w:val="587C7306"/>
    <w:rsid w:val="6E2A7B2F"/>
    <w:rsid w:val="72D6166F"/>
    <w:rsid w:val="774E7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9405EC-CDE0-440A-A673-CF889ED04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link w:val="BalloonTextChar"/>
    <w:semiHidden/>
    <w:qFormat/>
    <w:rPr>
      <w:sz w:val="18"/>
      <w:szCs w:val="18"/>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5">
    <w:name w:val="15"/>
    <w:basedOn w:val="DefaultParagraphFont"/>
    <w:qFormat/>
    <w:rPr>
      <w:rFonts w:ascii="Times New Roman" w:hAnsi="Times New Roman" w:cs="Times New Roman" w:hint="default"/>
      <w:i/>
      <w:iCs/>
      <w:color w:val="4472C4"/>
    </w:rPr>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314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979FF-B37A-460E-9C54-B8D40D43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3</cp:revision>
  <cp:lastPrinted>2022-08-02T01:28:00Z</cp:lastPrinted>
  <dcterms:created xsi:type="dcterms:W3CDTF">2022-08-10T05:21:00Z</dcterms:created>
  <dcterms:modified xsi:type="dcterms:W3CDTF">2022-08-10T05:59:00Z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2AAE4669304847D4A4A5A89DB227D55F</vt:lpwstr>
  </property>
</Properties>
</file>